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right="-57" w:firstLine="0"/>
        <w:jc w:val="center"/>
        <w:rPr/>
      </w:pPr>
      <w:r w:rsidDel="00000000" w:rsidR="00000000" w:rsidRPr="00000000">
        <w:rPr/>
        <w:drawing>
          <wp:inline distB="0" distT="0" distL="0" distR="0">
            <wp:extent cx="990600" cy="1045313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453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right="-57" w:firstLine="0"/>
        <w:jc w:val="center"/>
        <w:rPr>
          <w:rFonts w:ascii="Calibri" w:cs="Calibri" w:eastAsia="Calibri" w:hAnsi="Calibri"/>
          <w:color w:val="17365d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17365d"/>
          <w:sz w:val="22"/>
          <w:szCs w:val="22"/>
          <w:vertAlign w:val="baseline"/>
          <w:rtl w:val="0"/>
        </w:rPr>
        <w:t xml:space="preserve">PODER JUDICIÁRIO</w:t>
      </w:r>
    </w:p>
    <w:p w:rsidR="00000000" w:rsidDel="00000000" w:rsidP="00000000" w:rsidRDefault="00000000" w:rsidRPr="00000000" w14:paraId="00000003">
      <w:pPr>
        <w:ind w:left="0" w:right="-57" w:firstLine="0"/>
        <w:jc w:val="center"/>
        <w:rPr>
          <w:rFonts w:ascii="Calibri" w:cs="Calibri" w:eastAsia="Calibri" w:hAnsi="Calibri"/>
          <w:color w:val="17365d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17365d"/>
          <w:sz w:val="22"/>
          <w:szCs w:val="22"/>
          <w:vertAlign w:val="baseline"/>
          <w:rtl w:val="0"/>
        </w:rPr>
        <w:t xml:space="preserve">JUSTIÇA DO TRABALHO</w:t>
      </w:r>
    </w:p>
    <w:p w:rsidR="00000000" w:rsidDel="00000000" w:rsidP="00000000" w:rsidRDefault="00000000" w:rsidRPr="00000000" w14:paraId="00000004">
      <w:pPr>
        <w:ind w:left="0" w:right="-57" w:firstLine="0"/>
        <w:jc w:val="center"/>
        <w:rPr>
          <w:rFonts w:ascii="Calibri" w:cs="Calibri" w:eastAsia="Calibri" w:hAnsi="Calibri"/>
          <w:color w:val="17365d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17365d"/>
          <w:sz w:val="22"/>
          <w:szCs w:val="22"/>
          <w:vertAlign w:val="baseline"/>
          <w:rtl w:val="0"/>
        </w:rPr>
        <w:t xml:space="preserve">TRIBUNAL REGIONAL DO TRABALHO DA 7ª REGIÃO</w:t>
      </w:r>
    </w:p>
    <w:p w:rsidR="00000000" w:rsidDel="00000000" w:rsidP="00000000" w:rsidRDefault="00000000" w:rsidRPr="00000000" w14:paraId="00000005">
      <w:pPr>
        <w:ind w:left="0" w:right="-57" w:firstLine="0"/>
        <w:jc w:val="both"/>
        <w:rPr>
          <w:rFonts w:ascii="Calibri" w:cs="Calibri" w:eastAsia="Calibri" w:hAnsi="Calibri"/>
          <w:sz w:val="22"/>
          <w:szCs w:val="22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shd w:fill="ffffff" w:val="clear"/>
        <w:spacing w:after="0" w:before="0" w:line="360" w:lineRule="auto"/>
        <w:ind w:left="0" w:right="-57" w:firstLine="0"/>
        <w:jc w:val="center"/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shd w:fill="ffffff" w:val="clear"/>
        <w:spacing w:after="0" w:before="0" w:line="360" w:lineRule="auto"/>
        <w:ind w:left="0" w:right="-57" w:firstLine="0"/>
        <w:jc w:val="center"/>
        <w:rPr>
          <w:rFonts w:ascii="Calibri" w:cs="Calibri" w:eastAsia="Calibri" w:hAnsi="Calibri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vertAlign w:val="baseline"/>
          <w:rtl w:val="0"/>
        </w:rPr>
        <w:t xml:space="preserve">ESTUDOS TÉCNICOS PRELIMINARES - ETP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right="-409.1338582677156" w:hanging="15"/>
        <w:jc w:val="both"/>
        <w:rPr>
          <w:rFonts w:ascii="Calibri" w:cs="Calibri" w:eastAsia="Calibri" w:hAnsi="Calibri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right="-409.1338582677156" w:hanging="15"/>
        <w:jc w:val="both"/>
        <w:rPr>
          <w:rFonts w:ascii="Calibri" w:cs="Calibri" w:eastAsia="Calibri" w:hAnsi="Calibri"/>
          <w:color w:val="ff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0" w:right="-409.1338582677156" w:hanging="15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DESCRIÇÃO DA NECESSIDADE: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Suprir o estoque do Almoxarifado para atender a demanda das diversas Unidades Administrativas e Judiciárias da Justiça do Trabalho do Ceará com relação à material de expediente e acondicionamento e embalagem.</w:t>
      </w:r>
    </w:p>
    <w:p w:rsidR="00000000" w:rsidDel="00000000" w:rsidP="00000000" w:rsidRDefault="00000000" w:rsidRPr="00000000" w14:paraId="0000000B">
      <w:pPr>
        <w:spacing w:line="276" w:lineRule="auto"/>
        <w:ind w:left="0" w:right="-409.1338582677156" w:hanging="15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aquisição de itens de material de expediente, acondicionamento e embalagem é essencial para garantir o adequado funcionamento das unidades administrativas e judiciárias. Tais materiais são fundamentais para assegurar o bem-estar de magistrados, servidores, estagiários e demais usuários desta Justiça Especializada, proporcionando condições adequadas para o exercício de suas funções e para o atendimento ao público.</w:t>
      </w:r>
    </w:p>
    <w:p w:rsidR="00000000" w:rsidDel="00000000" w:rsidP="00000000" w:rsidRDefault="00000000" w:rsidRPr="00000000" w14:paraId="0000000C">
      <w:pPr>
        <w:ind w:left="0" w:right="-409.1338582677156" w:hanging="15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0" w:right="-409.1338582677156" w:hanging="15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ÁREA REQUISITANTE: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Coordenadoria de Material e Logística – CMLOG.</w:t>
      </w:r>
    </w:p>
    <w:p w:rsidR="00000000" w:rsidDel="00000000" w:rsidP="00000000" w:rsidRDefault="00000000" w:rsidRPr="00000000" w14:paraId="0000000E">
      <w:pPr>
        <w:ind w:left="0" w:right="-409.1338582677156" w:hanging="15"/>
        <w:jc w:val="both"/>
        <w:rPr>
          <w:rFonts w:ascii="Calibri" w:cs="Calibri" w:eastAsia="Calibri" w:hAnsi="Calibri"/>
          <w:color w:val="ff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0" w:right="-409.1338582677156" w:hanging="15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DESCRIÇÃO DOS REQUISITOS DA CONTRATAÇÃO:  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0" w:right="-409.1338582677156" w:hanging="15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Aquisição de material de expediente, acondicionamento e embalagem, através de Sistema de Registro de Preços - SRP, nos termos da Lei 14.133/2021 e de acordo com o art. 3º, V, do Decreto  nº 11.462/2023, cujas especificações, quantidades e preços estimados constam do ANEXO I do Termo de Referência.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 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0" w:right="-409.1338582677156" w:hanging="15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Trata-se de fornecimento de material comum, cujos padrões de desempenho e qualidade podem ser objetivamente definidos no edital por meio de especificações usuais no mercado. 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4"/>
        </w:numPr>
        <w:tabs>
          <w:tab w:val="left" w:leader="none" w:pos="0"/>
        </w:tabs>
        <w:spacing w:line="276" w:lineRule="auto"/>
        <w:ind w:left="0" w:right="-409.1338582677156" w:hanging="15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Não será admitida a adesão à ata de registro de preços decorrente desta licitação em razão da limitada capacidade de gerenciamento do TRT7 em relação aos procedimentos e etapas que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decorreriam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de possíveis adesões.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right="-409.1338582677156" w:hanging="15"/>
        <w:jc w:val="both"/>
        <w:rPr>
          <w:rFonts w:ascii="Calibri" w:cs="Calibri" w:eastAsia="Calibri" w:hAnsi="Calibri"/>
          <w:color w:val="ff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0" w:right="-409.1338582677156" w:hanging="15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LEVANTAMENTO DE SOLUÇÕES DISPONÍVEIS NO MERCADO E JUSTIFICA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TIVA DA SOLUÇÃO ESCOLHIDA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Entre as soluções disponíveis no mercado, a única opção viável é a aquisição,  uma vez que o item se destina a compor o estoque do Almoxarifado deste Tribunal.</w:t>
      </w:r>
    </w:p>
    <w:p w:rsidR="00000000" w:rsidDel="00000000" w:rsidP="00000000" w:rsidRDefault="00000000" w:rsidRPr="00000000" w14:paraId="00000015">
      <w:pPr>
        <w:spacing w:line="276" w:lineRule="auto"/>
        <w:ind w:left="0" w:right="-409.1338582677156" w:hanging="15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demanda,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definida no Termo de Referência (TR)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atende às especificações usuais constantes no mercado e destina-se a utilização pelas Unidades Administrativas e Judiciárias da Justiça do Trabalho do Ceará.</w:t>
      </w:r>
    </w:p>
    <w:p w:rsidR="00000000" w:rsidDel="00000000" w:rsidP="00000000" w:rsidRDefault="00000000" w:rsidRPr="00000000" w14:paraId="00000016">
      <w:pPr>
        <w:spacing w:line="276" w:lineRule="auto"/>
        <w:ind w:left="0" w:right="-409.1338582677156" w:hanging="15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Esta Coordenadoria optou por realizar a presente aquisição através do Sistema de Registro de Preços - SRP, tendo em vista que, pela natureza do objeto, não é possível definir previamente o quantitativo a ser demandado pela Administração, conforme  art. 3, inciso V do Decreto nº 11.462/23. Consideramos, ainda, o fato de que o referido Sistema possibilita um controle mais efetivo quanto à aquisição dos itens, traduzindo-se no estímulo ao consumo sustentável e consciente, além de reduzir custos de armazenamento.</w:t>
      </w:r>
    </w:p>
    <w:p w:rsidR="00000000" w:rsidDel="00000000" w:rsidP="00000000" w:rsidRDefault="00000000" w:rsidRPr="00000000" w14:paraId="00000017">
      <w:pPr>
        <w:spacing w:line="276" w:lineRule="auto"/>
        <w:ind w:left="0" w:right="-409.1338582677156" w:hanging="15"/>
        <w:jc w:val="both"/>
        <w:rPr>
          <w:rFonts w:ascii="Calibri" w:cs="Calibri" w:eastAsia="Calibri" w:hAnsi="Calibri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ind w:left="0" w:right="-409.1338582677156" w:hanging="15"/>
        <w:jc w:val="both"/>
        <w:rPr>
          <w:rFonts w:ascii="Calibri" w:cs="Calibri" w:eastAsia="Calibri" w:hAnsi="Calibri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ind w:left="0" w:right="-409.1338582677156" w:hanging="15"/>
        <w:jc w:val="both"/>
        <w:rPr>
          <w:rFonts w:ascii="Calibri" w:cs="Calibri" w:eastAsia="Calibri" w:hAnsi="Calibri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left="0" w:right="-409.1338582677156" w:hanging="15"/>
        <w:jc w:val="both"/>
        <w:rPr>
          <w:rFonts w:ascii="Calibri" w:cs="Calibri" w:eastAsia="Calibri" w:hAnsi="Calibri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0" w:right="-409.1338582677156" w:hanging="15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DESCRIÇÃO DA SOLUÇÃO COMO UM TODO, CONSIDERADO TODO O CICLO DE VIDA DO OBJETO: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Aquisição de material de expediente, acondicionamento e embalagem, mediante Sistema de Registro de Preços - SRP, o que proporcionará o abastecimento regular do estoque do Almoxarifado, bem como o atendimento da demanda das unidades administrativas e judiciárias. Este modelo de contratação possibilita também trabalhar com estoques mais enxutos, reduzindo custos de armazenamento e estimulando o consumo consciente.</w:t>
      </w:r>
    </w:p>
    <w:p w:rsidR="00000000" w:rsidDel="00000000" w:rsidP="00000000" w:rsidRDefault="00000000" w:rsidRPr="00000000" w14:paraId="0000001C">
      <w:pPr>
        <w:ind w:left="0" w:right="-409.1338582677156" w:hanging="15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7.007874015748033" w:right="-408.1889763779528" w:hanging="17.007874015748033"/>
        <w:rPr>
          <w:rFonts w:ascii="Calibri" w:cs="Calibri" w:eastAsia="Calibri" w:hAnsi="Calibri"/>
          <w:b w:val="1"/>
          <w:bCs w:val="1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ESTIMATIVA DAS QUANTIDADES A SEREM CONTRATADAS: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right="-409.1338582677156" w:hanging="15"/>
        <w:jc w:val="both"/>
        <w:rPr>
          <w:rFonts w:ascii="Cambria" w:cs="Cambria" w:eastAsia="Cambria" w:hAnsi="Cambria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1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630"/>
        <w:gridCol w:w="885"/>
        <w:gridCol w:w="5580"/>
        <w:gridCol w:w="1047.000000000001"/>
        <w:gridCol w:w="767.999999999999"/>
        <w:tblGridChange w:id="0">
          <w:tblGrid>
            <w:gridCol w:w="630"/>
            <w:gridCol w:w="885"/>
            <w:gridCol w:w="5580"/>
            <w:gridCol w:w="1047.000000000001"/>
            <w:gridCol w:w="767.999999999999"/>
          </w:tblGrid>
        </w:tblGridChange>
      </w:tblGrid>
      <w:tr>
        <w:trPr>
          <w:cantSplit w:val="0"/>
          <w:trHeight w:val="330" w:hRule="atLeast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CATMAT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ESPECIFICAÇÃO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UNIDADE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rtl w:val="0"/>
              </w:rPr>
              <w:t xml:space="preserve">QUANT.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3.9999999999986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279108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Fita adesiva, material polipropileno transparente, tipo monoface, medindo 12mm x 30m, aplicação multiuso. As medidas poderão variar em até 5%.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Rolo c/ 30m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30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356778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Fita adesiva em papel LISO KRAFT, resistente, para embalagens pesadas, emendas e reforço de embalagens, med. 50mmX50m. OBS: a fita quando emendada, com transpasse aproximado de 2cm, deverá permanecer aderida. A largura da fita poderá variar em até 2mm.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Rolo c/ 50 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3.0000000000007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419259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Fita adesiva transparente, resistente, contendo em sua composição polipropileno, para embalagens de caixas de papelão, med. 50mmx50m. Obs.: A fita quando emendada, com transpasse aproximado de 2cm, deverá permanecer aderida. A largura da fita poderá variar em até 2mm.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Rolo c/ 50 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0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292447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Cola plástica em bastão, tubo com no mínimo 8g, na cor branca, não tóxica, lavável, sem solventes, para colar papel, cartolina, fotos e similares, com tampa hermética, composição na embalagem e químico responsável, com selo expedido pelo INMETRO.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Tubo com 8 gramas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6.0000000000014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467179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Caixa tipo arquivo, em papelão reciclado resistente (papelão onda simples), com no mínimo 2mm de espessura, medindo 13,5 cm de largura, 25 cm de altura x 36 cm de comprimento, cor parda, com 03 painéis impressos que permitam a identificação dos documentos.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5130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.9999999999945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19708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Caixa tipo arquivo, em papelão reciclado resistente (papelão ondulado onda simples), com no mínimo 2 mm de espessura, medindo 19cm de largura x 31 cm de altura x 45 cm de comprimento, cor parda, com 03 painéis impressos que permitam a identificação dos documentos.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1500</w:t>
            </w:r>
          </w:p>
        </w:tc>
      </w:tr>
      <w:tr>
        <w:trPr>
          <w:cantSplit w:val="0"/>
          <w:trHeight w:val="567.0000000000027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296916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Caixa resistente para transporte de material pesado em papelão reciclado, parede dupla, medindo 30cm de largura x 40 cm de comprimento x 50cm de altura, grampeada nas laterais, cor parda. OBS: As abas internas devem se unir para proporcionar o fechamento total da caixa.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.9999999999945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296916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Caixa resistente para transporte de material pesado em papelão reciclado, parede dupla, medindo 40cm de largura x 30 cm de comprimento x 30cm de altura, grampeada nas laterais, cor parda. OBS: As abas internas devem se unir para proporcionar o fechamento total da caixa.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.9999999999945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483432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Clips para papéis nº 6/0, fabricado com arame de aço com tratamento antiferrugem (caixa com 50 unidades).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Caixa com 50 unidades</w:t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4.0000000000055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628797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Clips para papéis nº 2/0, fabricado com arame de aço com tratamento antiferrugem (caixa com 100 unidades).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Caixa com 100 unidades</w:t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135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389568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Grampo encadernador, em plástico flexível, na cor branco leitoso, tipo lingueta, duas peças, sendo uma para encadernar e outra para prender com hastes sem graduação em alto relevo, medindo cada haste, no mínimo, 10cm de comprimento e 2,5mm de espessura, com fechamento sob pressão e capacidade para 500 folhas.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Pct c/ 50 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383330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Quadro branco, material laminado melamínico brilhante, acabamento superficial da moldura com alumínio anodizado. Medidas: altura 90/100cm e comprimento 100/120cm. Adicionais: suporte para apagador e pincel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5.9999999999945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416792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Barbante de sisal resistente, cor natural, espessura aproximada de 2,0mm, rolo com aproximadamente 1000g. Admitida uma variação de 5% no peso.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Rolo c/ 1kg.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5.9999999999945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spacing w:line="276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10893</w:t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widowControl w:val="0"/>
              <w:spacing w:line="276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Plástico cristal grosso transparente, composição 100% PVC, com espessura de 0,30 mm. Fornecimento em rolos medindo 1,40m x 10m.</w:t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Metro</w:t>
            </w:r>
          </w:p>
        </w:tc>
        <w:tc>
          <w:tcPr>
            <w:tcBorders>
              <w:top w:color="000000" w:space="0" w:sz="4" w:val="single"/>
              <w:left w:color="cccccc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40</w:t>
            </w:r>
          </w:p>
        </w:tc>
      </w:tr>
    </w:tbl>
    <w:p w:rsidR="00000000" w:rsidDel="00000000" w:rsidP="00000000" w:rsidRDefault="00000000" w:rsidRPr="00000000" w14:paraId="0000006A">
      <w:pPr>
        <w:ind w:left="720" w:right="0" w:firstLine="0"/>
        <w:jc w:val="both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ind w:left="0" w:right="-409.1338582677156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ind w:left="0" w:right="-409.1338582677156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Os quantitativos foram estimados considerando uma Política de Estoque que objetiva manter uma quantidade mínima disponível para evitar o desabastecimento, bem como  suprir a demanda pelo período de 12 (doze) meses. Para tanto, foram utilizados como parâmetro técnico os Relatórios de Previsão de Disponibilidade de Estoque extraídos do Sistema de Controle de Material e Patrimônio – SCMP (em anexo), que fornecem a média de consumo dos últimos 12 meses e dos últimos 6 meses. Sobre a média anual ou semestral extraída do sistema (a maior entre as duas), aplicou-se uma margem de segurança de 25% (vinte e cinco por cento) para suportar possíveis variações de demanda, considerando que a contratação será realizada via Sistema de Registro de Preços.</w:t>
      </w:r>
    </w:p>
    <w:p w:rsidR="00000000" w:rsidDel="00000000" w:rsidP="00000000" w:rsidRDefault="00000000" w:rsidRPr="00000000" w14:paraId="0000006D">
      <w:pPr>
        <w:spacing w:line="276" w:lineRule="auto"/>
        <w:ind w:left="0" w:right="-409.1338582677156" w:firstLine="0"/>
        <w:jc w:val="both"/>
        <w:rPr>
          <w:rFonts w:ascii="Calibri" w:cs="Calibri" w:eastAsia="Calibri" w:hAnsi="Calibri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17.007874015748033" w:right="-408.1889763779528" w:hanging="17.007874015748033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ESTIMATIVA DO VALOR DA CONTRATAÇÃO: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 valor estimado conforme pesquisa de preços anexa é de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R$ 76.040,76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(setenta e seis mil, quarenta reais e setenta e seis centavos).</w:t>
      </w:r>
    </w:p>
    <w:p w:rsidR="00000000" w:rsidDel="00000000" w:rsidP="00000000" w:rsidRDefault="00000000" w:rsidRPr="00000000" w14:paraId="0000006F">
      <w:pPr>
        <w:ind w:left="720" w:right="-409.1338582677156" w:firstLine="0"/>
        <w:jc w:val="both"/>
        <w:rPr>
          <w:rFonts w:ascii="Calibri" w:cs="Calibri" w:eastAsia="Calibri" w:hAnsi="Calibri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0" w:right="-409.1338582677156" w:firstLine="0"/>
        <w:jc w:val="both"/>
        <w:rPr>
          <w:rFonts w:ascii="Calibri" w:cs="Calibri" w:eastAsia="Calibri" w:hAnsi="Calibri"/>
          <w:color w:val="ff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0" w:right="-408.1889763779528" w:firstLine="0"/>
        <w:jc w:val="both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JUSTIFICATIVA PARA O PARCELAMENTO OU NÃO DA SOLUÇÃO: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A solução foi parcelada em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itens a fim de ampliar a concorrência,  tendo sido realizado o agrupamento de apenas alguns itens a fim de manter a uniformidade dos itens adquiridos, bem como visar a economia de escala.</w:t>
      </w:r>
    </w:p>
    <w:p w:rsidR="00000000" w:rsidDel="00000000" w:rsidP="00000000" w:rsidRDefault="00000000" w:rsidRPr="00000000" w14:paraId="00000072">
      <w:pPr>
        <w:ind w:left="0" w:right="-408.1889763779528" w:firstLine="0"/>
        <w:jc w:val="both"/>
        <w:rPr>
          <w:rFonts w:ascii="Calibri" w:cs="Calibri" w:eastAsia="Calibri" w:hAnsi="Calibri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0" w:right="-408.1889763779528" w:firstLine="0"/>
        <w:jc w:val="both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CONTRATAÇÕES CORRELATAS E/OU INTERDEPENDENTES: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Não se aplica.</w:t>
      </w:r>
    </w:p>
    <w:p w:rsidR="00000000" w:rsidDel="00000000" w:rsidP="00000000" w:rsidRDefault="00000000" w:rsidRPr="00000000" w14:paraId="00000074">
      <w:pPr>
        <w:ind w:left="720" w:right="-409.1338582677156" w:firstLine="0"/>
        <w:jc w:val="both"/>
        <w:rPr>
          <w:rFonts w:ascii="Calibri" w:cs="Calibri" w:eastAsia="Calibri" w:hAnsi="Calibri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ind w:left="0" w:right="-409.1338582677156" w:firstLine="0"/>
        <w:jc w:val="both"/>
        <w:rPr>
          <w:rFonts w:ascii="Calibri" w:cs="Calibri" w:eastAsia="Calibri" w:hAnsi="Calibri"/>
          <w:color w:val="ff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17.007874015748033" w:right="-408.1889763779528" w:hanging="17.007874015748033"/>
        <w:jc w:val="both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ALINHAMENTO ENTRE A CONTRATAÇÃO E O PLANEJAMENTO: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demanda está em estrita consonância com 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Plano Estratégico 2021-2026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deste Regional, aprovado pelo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Ato TRT7. GP nº 64/2021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 Especificamente, a contratação contribui para o alcance do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Objetivo Estratégico nº 8: Incrementar o modelo de gestão de pessoas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ao promover um ambiente de trabalho que valoriza a qualidade de vida e o suporte necessário às atividades laborais.</w:t>
      </w:r>
    </w:p>
    <w:p w:rsidR="00000000" w:rsidDel="00000000" w:rsidP="00000000" w:rsidRDefault="00000000" w:rsidRPr="00000000" w14:paraId="00000077">
      <w:pPr>
        <w:numPr>
          <w:ilvl w:val="0"/>
          <w:numId w:val="5"/>
        </w:numPr>
        <w:ind w:right="-409.1338582677156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Esta aquisição encontra-se prevista no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Plano Anual de Contratações (PAC)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do TRT7, reforçando o compromisso com o planejamento governamental e a eficiência na alocação de recursos públicos. Item de execução: 151082026000161 - Aquisição de material de expediente, acondicionamento e embalagem.</w:t>
      </w:r>
    </w:p>
    <w:p w:rsidR="00000000" w:rsidDel="00000000" w:rsidP="00000000" w:rsidRDefault="00000000" w:rsidRPr="00000000" w14:paraId="00000078">
      <w:pPr>
        <w:ind w:left="0" w:right="-409.1338582677156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ind w:left="0" w:right="-409.1338582677156" w:firstLine="0"/>
        <w:jc w:val="both"/>
        <w:rPr>
          <w:rFonts w:ascii="Calibri" w:cs="Calibri" w:eastAsia="Calibri" w:hAnsi="Calibri"/>
          <w:color w:val="ff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17.007874015748033" w:right="-408.1889763779528" w:hanging="17.007874015748033"/>
        <w:jc w:val="both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BENEFÍCIOS A SEREM ALCANÇADOS COM A CONTRATAÇÃO: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Atendimento da demanda das diversas Unidades Administrativas e Judiciárias da Justiça do Trabalho do Ceará, com relação a itens de consumo que irão garantir o suporte necessário às atividades laborais e proporcionar o bem-estar de magistrados, servidores, estagiários e demais usuários desta Justiça Especializada.</w:t>
      </w:r>
    </w:p>
    <w:p w:rsidR="00000000" w:rsidDel="00000000" w:rsidP="00000000" w:rsidRDefault="00000000" w:rsidRPr="00000000" w14:paraId="0000007B">
      <w:pPr>
        <w:ind w:left="0" w:right="-409.1338582677156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ind w:left="0" w:right="-409.1338582677156" w:firstLine="0"/>
        <w:jc w:val="both"/>
        <w:rPr>
          <w:rFonts w:ascii="Calibri" w:cs="Calibri" w:eastAsia="Calibri" w:hAnsi="Calibri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0" w:right="-409.1338582677156" w:firstLine="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PROVIDÊNCIAS A SEREM ADOTADAS: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Não se aplica.</w:t>
      </w:r>
    </w:p>
    <w:p w:rsidR="00000000" w:rsidDel="00000000" w:rsidP="00000000" w:rsidRDefault="00000000" w:rsidRPr="00000000" w14:paraId="0000007E">
      <w:pPr>
        <w:ind w:left="720" w:right="-409.1338582677156" w:firstLine="0"/>
        <w:jc w:val="both"/>
        <w:rPr>
          <w:rFonts w:ascii="Calibri" w:cs="Calibri" w:eastAsia="Calibri" w:hAnsi="Calibri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ind w:left="0" w:right="-409.1338582677156" w:firstLine="0"/>
        <w:jc w:val="both"/>
        <w:rPr>
          <w:rFonts w:ascii="Calibri" w:cs="Calibri" w:eastAsia="Calibri" w:hAnsi="Calibri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3"/>
        </w:numPr>
        <w:spacing w:line="276" w:lineRule="auto"/>
        <w:ind w:left="0" w:right="-409.1338582677156" w:firstLine="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POSSÍVEIS IMPACTOS AMBIENTAIS:</w:t>
      </w:r>
    </w:p>
    <w:p w:rsidR="00000000" w:rsidDel="00000000" w:rsidP="00000000" w:rsidRDefault="00000000" w:rsidRPr="00000000" w14:paraId="00000081">
      <w:pPr>
        <w:spacing w:line="276" w:lineRule="auto"/>
        <w:ind w:left="720" w:right="-409.1338582677156" w:firstLine="0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ind w:left="0" w:right="-409.1338582677156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13.1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Visando reduzir possíveis impactos ambientais, o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produto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deve estar acondicionado, preferencialmente, em embalagem individual adequada, com o menor volume possível, fabricada em material reciclável ou biodegradável, de forma a garantir a máxima proteção durante o transporte e armazenamento e a destinação final adequada. </w:t>
      </w:r>
    </w:p>
    <w:p w:rsidR="00000000" w:rsidDel="00000000" w:rsidP="00000000" w:rsidRDefault="00000000" w:rsidRPr="00000000" w14:paraId="00000083">
      <w:pPr>
        <w:ind w:left="0" w:right="-409.1338582677156" w:firstLine="0"/>
        <w:jc w:val="both"/>
        <w:rPr>
          <w:rFonts w:ascii="Calibri" w:cs="Calibri" w:eastAsia="Calibri" w:hAnsi="Calibri"/>
          <w:color w:val="ff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3"/>
        </w:numPr>
        <w:ind w:left="0" w:right="-409.1338582677156" w:firstLine="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vertAlign w:val="baseline"/>
          <w:rtl w:val="0"/>
        </w:rPr>
        <w:t xml:space="preserve">DECLARAÇÃO DE VIABILIDADE: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Por todo o exposto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neste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ETP, pelo conhecimento do mercado, pelas pesquisas realizadas, declaramos que a contratação é viável. </w:t>
      </w:r>
    </w:p>
    <w:p w:rsidR="00000000" w:rsidDel="00000000" w:rsidP="00000000" w:rsidRDefault="00000000" w:rsidRPr="00000000" w14:paraId="00000085">
      <w:pPr>
        <w:ind w:left="720" w:right="-409.1338582677156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ind w:left="0" w:right="-409.1338582677156" w:firstLine="0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7">
      <w:pPr>
        <w:jc w:val="both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Fortaleza,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28 de abril de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Michelle Adarai Maia Cunha Holanda</w:t>
      </w:r>
    </w:p>
    <w:p w:rsidR="00000000" w:rsidDel="00000000" w:rsidP="00000000" w:rsidRDefault="00000000" w:rsidRPr="00000000" w14:paraId="0000008B">
      <w:pPr>
        <w:widowControl w:val="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Coordenadora da CMLOG/TRT 7ª Região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first"/>
      <w:pgSz w:h="16838" w:w="11906" w:orient="portrait"/>
      <w:pgMar w:bottom="550.9842519685049" w:top="425.1968503937008" w:left="1701" w:right="1701" w:header="709" w:footer="709"/>
      <w:pgNumType w:start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Georgia"/>
  <w:font w:name="Calibri"/>
  <w:font w:name="Cambria"/>
  <w:font w:name="CG Time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keepNext w:val="0"/>
      <w:keepLines w:val="0"/>
      <w:widowControl w:val="1"/>
      <w:numPr>
        <w:ilvl w:val="0"/>
        <w:numId w:val="2"/>
      </w:numPr>
      <w:shd w:fill="ffffff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3.46456692913375" w:hanging="15"/>
      </w:pPr>
      <w:rPr>
        <w:rFonts w:ascii="Calibri" w:cs="Calibri" w:eastAsia="Calibri" w:hAnsi="Calibri"/>
        <w:b w:val="1"/>
        <w:bCs w:val="1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3">
    <w:lvl w:ilvl="0">
      <w:start w:val="12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b w:val="1"/>
        <w:bCs w:val="1"/>
        <w:sz w:val="20"/>
        <w:szCs w:val="20"/>
        <w:highlight w:val="whit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decimal"/>
      <w:lvlText w:val="%2.%3."/>
      <w:lvlJc w:val="left"/>
      <w:pPr>
        <w:ind w:left="1440" w:hanging="360"/>
      </w:pPr>
      <w:rPr>
        <w:sz w:val="20"/>
        <w:szCs w:val="20"/>
        <w:vertAlign w:val="baseline"/>
      </w:rPr>
    </w:lvl>
    <w:lvl w:ilvl="3">
      <w:start w:val="1"/>
      <w:numFmt w:val="decimal"/>
      <w:lvlText w:val="%2.%3.%4."/>
      <w:lvlJc w:val="left"/>
      <w:pPr>
        <w:ind w:left="1800" w:hanging="360"/>
      </w:pPr>
      <w:rPr>
        <w:sz w:val="20"/>
        <w:szCs w:val="20"/>
        <w:vertAlign w:val="baseline"/>
      </w:rPr>
    </w:lvl>
    <w:lvl w:ilvl="4">
      <w:start w:val="1"/>
      <w:numFmt w:val="decimal"/>
      <w:lvlText w:val="%2.%3.%4.%5."/>
      <w:lvlJc w:val="left"/>
      <w:pPr>
        <w:ind w:left="2160" w:hanging="360"/>
      </w:pPr>
      <w:rPr>
        <w:sz w:val="20"/>
        <w:szCs w:val="20"/>
        <w:vertAlign w:val="baseline"/>
      </w:rPr>
    </w:lvl>
    <w:lvl w:ilvl="5">
      <w:start w:val="1"/>
      <w:numFmt w:val="decimal"/>
      <w:lvlText w:val="%2.%3.%4.%5.%6."/>
      <w:lvlJc w:val="left"/>
      <w:pPr>
        <w:ind w:left="2520" w:hanging="360"/>
      </w:pPr>
      <w:rPr>
        <w:sz w:val="20"/>
        <w:szCs w:val="20"/>
        <w:vertAlign w:val="baseline"/>
      </w:rPr>
    </w:lvl>
    <w:lvl w:ilvl="6">
      <w:start w:val="1"/>
      <w:numFmt w:val="decimal"/>
      <w:lvlText w:val="%2.%3.%4.%5.%6.%7."/>
      <w:lvlJc w:val="left"/>
      <w:pPr>
        <w:ind w:left="2880" w:hanging="360"/>
      </w:pPr>
      <w:rPr>
        <w:sz w:val="20"/>
        <w:szCs w:val="20"/>
        <w:vertAlign w:val="baseline"/>
      </w:rPr>
    </w:lvl>
    <w:lvl w:ilvl="7">
      <w:start w:val="1"/>
      <w:numFmt w:val="decimal"/>
      <w:lvlText w:val="%2.%3.%4.%5.%6.%7.%8."/>
      <w:lvlJc w:val="left"/>
      <w:pPr>
        <w:ind w:left="3240" w:hanging="360"/>
      </w:pPr>
      <w:rPr>
        <w:sz w:val="20"/>
        <w:szCs w:val="20"/>
        <w:vertAlign w:val="baseline"/>
      </w:rPr>
    </w:lvl>
    <w:lvl w:ilvl="8">
      <w:start w:val="1"/>
      <w:numFmt w:val="decimal"/>
      <w:lvlText w:val="%2.%3.%4.%5.%6.%7.%8.%9."/>
      <w:lvlJc w:val="left"/>
      <w:pPr>
        <w:ind w:left="3600" w:hanging="360"/>
      </w:pPr>
      <w:rPr>
        <w:sz w:val="20"/>
        <w:szCs w:val="20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11.338582677165277"/>
      </w:pPr>
      <w:rPr>
        <w:sz w:val="20"/>
        <w:szCs w:val="20"/>
        <w:vertAlign w:val="baseline"/>
      </w:rPr>
    </w:lvl>
    <w:lvl w:ilvl="1">
      <w:start w:val="1"/>
      <w:numFmt w:val="bullet"/>
      <w:lvlText w:val="◦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1440" w:hanging="360"/>
      </w:pPr>
      <w:rPr>
        <w:sz w:val="20"/>
        <w:szCs w:val="20"/>
        <w:vertAlign w:val="baseline"/>
      </w:rPr>
    </w:lvl>
    <w:lvl w:ilvl="3">
      <w:start w:val="1"/>
      <w:numFmt w:val="bullet"/>
      <w:lvlText w:val="●"/>
      <w:lvlJc w:val="left"/>
      <w:pPr>
        <w:ind w:left="1800" w:hanging="360"/>
      </w:pPr>
      <w:rPr>
        <w:sz w:val="20"/>
        <w:szCs w:val="20"/>
        <w:vertAlign w:val="baseline"/>
      </w:rPr>
    </w:lvl>
    <w:lvl w:ilvl="4">
      <w:start w:val="1"/>
      <w:numFmt w:val="bullet"/>
      <w:lvlText w:val="◦"/>
      <w:lvlJc w:val="left"/>
      <w:pPr>
        <w:ind w:left="2160" w:hanging="360"/>
      </w:pPr>
      <w:rPr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2520" w:hanging="360"/>
      </w:pPr>
      <w:rPr>
        <w:sz w:val="20"/>
        <w:szCs w:val="20"/>
        <w:vertAlign w:val="baseline"/>
      </w:rPr>
    </w:lvl>
    <w:lvl w:ilvl="6">
      <w:start w:val="1"/>
      <w:numFmt w:val="bullet"/>
      <w:lvlText w:val="●"/>
      <w:lvlJc w:val="left"/>
      <w:pPr>
        <w:ind w:left="2880" w:hanging="360"/>
      </w:pPr>
      <w:rPr>
        <w:sz w:val="20"/>
        <w:szCs w:val="20"/>
        <w:vertAlign w:val="baseline"/>
      </w:rPr>
    </w:lvl>
    <w:lvl w:ilvl="7">
      <w:start w:val="1"/>
      <w:numFmt w:val="bullet"/>
      <w:lvlText w:val="◦"/>
      <w:lvlJc w:val="left"/>
      <w:pPr>
        <w:ind w:left="3240" w:hanging="360"/>
      </w:pPr>
      <w:rPr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3600" w:hanging="360"/>
      </w:pPr>
      <w:rPr>
        <w:sz w:val="20"/>
        <w:szCs w:val="20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sz w:val="20"/>
        <w:szCs w:val="20"/>
        <w:vertAlign w:val="baseline"/>
      </w:rPr>
    </w:lvl>
    <w:lvl w:ilvl="1">
      <w:start w:val="1"/>
      <w:numFmt w:val="bullet"/>
      <w:lvlText w:val="◦"/>
      <w:lvlJc w:val="left"/>
      <w:pPr>
        <w:ind w:left="1080" w:hanging="360"/>
      </w:pPr>
      <w:rPr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1440" w:hanging="360"/>
      </w:pPr>
      <w:rPr>
        <w:sz w:val="20"/>
        <w:szCs w:val="20"/>
        <w:vertAlign w:val="baseline"/>
      </w:rPr>
    </w:lvl>
    <w:lvl w:ilvl="3">
      <w:start w:val="1"/>
      <w:numFmt w:val="bullet"/>
      <w:lvlText w:val="●"/>
      <w:lvlJc w:val="left"/>
      <w:pPr>
        <w:ind w:left="1800" w:hanging="360"/>
      </w:pPr>
      <w:rPr>
        <w:sz w:val="20"/>
        <w:szCs w:val="20"/>
        <w:vertAlign w:val="baseline"/>
      </w:rPr>
    </w:lvl>
    <w:lvl w:ilvl="4">
      <w:start w:val="1"/>
      <w:numFmt w:val="bullet"/>
      <w:lvlText w:val="◦"/>
      <w:lvlJc w:val="left"/>
      <w:pPr>
        <w:ind w:left="2160" w:hanging="360"/>
      </w:pPr>
      <w:rPr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2520" w:hanging="360"/>
      </w:pPr>
      <w:rPr>
        <w:sz w:val="20"/>
        <w:szCs w:val="20"/>
        <w:vertAlign w:val="baseline"/>
      </w:rPr>
    </w:lvl>
    <w:lvl w:ilvl="6">
      <w:start w:val="1"/>
      <w:numFmt w:val="bullet"/>
      <w:lvlText w:val="●"/>
      <w:lvlJc w:val="left"/>
      <w:pPr>
        <w:ind w:left="2880" w:hanging="360"/>
      </w:pPr>
      <w:rPr>
        <w:sz w:val="20"/>
        <w:szCs w:val="20"/>
        <w:vertAlign w:val="baseline"/>
      </w:rPr>
    </w:lvl>
    <w:lvl w:ilvl="7">
      <w:start w:val="1"/>
      <w:numFmt w:val="bullet"/>
      <w:lvlText w:val="◦"/>
      <w:lvlJc w:val="left"/>
      <w:pPr>
        <w:ind w:left="3240" w:hanging="360"/>
      </w:pPr>
      <w:rPr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3600" w:hanging="360"/>
      </w:pPr>
      <w:rPr>
        <w:sz w:val="20"/>
        <w:szCs w:val="20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08.6614173228347" w:firstLine="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1160"/>
      </w:tabs>
      <w:spacing w:after="120" w:before="480" w:line="240" w:lineRule="auto"/>
      <w:ind w:left="0" w:right="49" w:firstLine="2552"/>
      <w:jc w:val="both"/>
    </w:pPr>
    <w:rPr>
      <w:rFonts w:ascii="CG Times" w:cs="CG Times" w:eastAsia="CG Times" w:hAnsi="CG Times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3119"/>
      <w:jc w:val="both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-136" w:firstLine="0"/>
      <w:jc w:val="center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GTimes-regular.ttf"/><Relationship Id="rId2" Type="http://schemas.openxmlformats.org/officeDocument/2006/relationships/font" Target="fonts/CGTimes-bold.ttf"/><Relationship Id="rId3" Type="http://schemas.openxmlformats.org/officeDocument/2006/relationships/font" Target="fonts/CGTimes-italic.ttf"/><Relationship Id="rId4" Type="http://schemas.openxmlformats.org/officeDocument/2006/relationships/font" Target="fonts/CGTime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